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ClearDCAA Quick Start Guide</w:t>
      </w:r>
    </w:p>
    <w:p>
      <w:pPr>
        <w:spacing w:after="200"/>
      </w:pPr>
      <w:r>
        <w:rPr>
          <w:b/>
          <w:bCs/>
        </w:rPr>
        <w:t xml:space="preserve">Get DCAA-ready in 15 minutes. </w:t>
      </w:r>
      <w:r>
        <w:t xml:space="preserve">This guide walks you through the core setup so you can run your first SF 1408 readiness check and invite your team.</w:t>
      </w:r>
    </w:p>
    <w:p>
      <w:pPr>
        <w:pStyle w:val="Heading2"/>
      </w:pPr>
      <w:r>
        <w:t xml:space="preserve">1. Create Your Organization</w:t>
      </w:r>
    </w:p>
    <w:p>
      <w:pPr>
        <w:pStyle w:val="ListParagraph"/>
        <w:numPr>
          <w:ilvl w:val="0"/>
          <w:numId w:val="2"/>
        </w:numPr>
      </w:pPr>
      <w:r>
        <w:t xml:space="preserve">Sign in at </w:t>
      </w:r>
      <w:hyperlink w:history="1" r:id="rIdjasbotqxjhtvhnejvcewy">
        <w:r>
          <w:rPr>
            <w:rStyle w:val="Hyperlink"/>
          </w:rPr>
          <w:t xml:space="preserve">https://cleardcaa.com</w:t>
        </w:r>
      </w:hyperlink>
      <w:r>
        <w:t xml:space="preserve"> using your business email.</w:t>
      </w:r>
    </w:p>
    <w:p>
      <w:pPr>
        <w:pStyle w:val="ListParagraph"/>
        <w:numPr>
          <w:ilvl w:val="0"/>
          <w:numId w:val="2"/>
        </w:numPr>
      </w:pPr>
      <w:r>
        <w:t xml:space="preserve">Go to Settings &gt; Organization and enter your legal business name, EIN/CAGE, and ACO contact.</w:t>
      </w:r>
    </w:p>
    <w:p>
      <w:pPr>
        <w:pStyle w:val="ListParagraph"/>
        <w:numPr>
          <w:ilvl w:val="0"/>
          <w:numId w:val="2"/>
        </w:numPr>
      </w:pPr>
      <w:r>
        <w:t xml:space="preserve">Add your company logo and primary business address.</w:t>
      </w:r>
    </w:p>
    <w:p>
      <w:pPr>
        <w:spacing w:after="160"/>
      </w:pPr>
      <w:r>
        <w:rPr>
          <w:b/>
          <w:bCs/>
          <w:i/>
          <w:iCs/>
        </w:rPr>
        <w:t xml:space="preserve">Tip: </w:t>
      </w:r>
      <w:r>
        <w:rPr>
          <w:i/>
          <w:iCs/>
        </w:rPr>
        <w:t xml:space="preserve">The EIN/CAGE fields are only visible to admin users. Reviewers and accountants see sanitized read-only views.</w:t>
      </w:r>
    </w:p>
    <w:p>
      <w:pPr>
        <w:pStyle w:val="Heading2"/>
      </w:pPr>
      <w:r>
        <w:t xml:space="preserve">2. Connect Your Accounting System</w:t>
      </w:r>
    </w:p>
    <w:p>
      <w:pPr>
        <w:pStyle w:val="ListParagraph"/>
        <w:numPr>
          <w:ilvl w:val="0"/>
          <w:numId w:val="2"/>
        </w:numPr>
      </w:pPr>
      <w:r>
        <w:t xml:space="preserve">From the dashboard, open Accounting Integrations.</w:t>
      </w:r>
    </w:p>
    <w:p>
      <w:pPr>
        <w:pStyle w:val="ListParagraph"/>
        <w:numPr>
          <w:ilvl w:val="0"/>
          <w:numId w:val="2"/>
        </w:numPr>
      </w:pPr>
      <w:r>
        <w:t xml:space="preserve">Choose QuickBooks Online or your preferred provider and authorize the OAuth connection.</w:t>
      </w:r>
    </w:p>
    <w:p>
      <w:pPr>
        <w:pStyle w:val="ListParagraph"/>
        <w:numPr>
          <w:ilvl w:val="0"/>
          <w:numId w:val="2"/>
        </w:numPr>
      </w:pPr>
      <w:r>
        <w:t xml:space="preserve">Map your chart of accounts to ClearDCAA cost pools (Labor, Overhead, G&amp;A, etc.).</w:t>
      </w:r>
    </w:p>
    <w:p>
      <w:pPr>
        <w:spacing w:after="160"/>
      </w:pPr>
      <w:r>
        <w:rPr>
          <w:b/>
          <w:bCs/>
          <w:i/>
          <w:iCs/>
        </w:rPr>
        <w:t xml:space="preserve">Why this matters: </w:t>
      </w:r>
      <w:r>
        <w:rPr>
          <w:i/>
          <w:iCs/>
        </w:rPr>
        <w:t xml:space="preserve">This mapping feeds your ICS adequacy checklist and DCAA-style reports.</w:t>
      </w:r>
    </w:p>
    <w:p>
      <w:pPr>
        <w:pStyle w:val="Heading2"/>
      </w:pPr>
      <w:r>
        <w:t xml:space="preserve">3. Run Your First SF 1408 Readiness Check</w:t>
      </w:r>
    </w:p>
    <w:p>
      <w:pPr>
        <w:pStyle w:val="ListParagraph"/>
        <w:numPr>
          <w:ilvl w:val="0"/>
          <w:numId w:val="2"/>
        </w:numPr>
      </w:pPr>
      <w:r>
        <w:t xml:space="preserve">Navigate to SF 1408 &gt; Readiness Checklist.</w:t>
      </w:r>
    </w:p>
    <w:p>
      <w:pPr>
        <w:pStyle w:val="ListParagraph"/>
        <w:numPr>
          <w:ilvl w:val="0"/>
          <w:numId w:val="2"/>
        </w:numPr>
      </w:pPr>
      <w:r>
        <w:t xml:space="preserve">Answer each DCAA checklist item. Upload supporting evidence where prompted.</w:t>
      </w:r>
    </w:p>
    <w:p>
      <w:pPr>
        <w:pStyle w:val="ListParagraph"/>
        <w:numPr>
          <w:ilvl w:val="0"/>
          <w:numId w:val="2"/>
        </w:numPr>
      </w:pPr>
      <w:r>
        <w:t xml:space="preserve">Click Generate Report to export a PDF readiness summary for your ACO or auditor.</w:t>
      </w:r>
    </w:p>
    <w:p>
      <w:pPr>
        <w:spacing w:after="160"/>
      </w:pPr>
      <w:r>
        <w:rPr>
          <w:b/>
          <w:bCs/>
          <w:i/>
          <w:iCs/>
        </w:rPr>
        <w:t xml:space="preserve">Tip: </w:t>
      </w:r>
      <w:r>
        <w:rPr>
          <w:i/>
          <w:iCs/>
        </w:rPr>
        <w:t xml:space="preserve">Use the AI assistant to explain any item in plain English.</w:t>
      </w:r>
    </w:p>
    <w:p>
      <w:pPr>
        <w:pStyle w:val="Heading2"/>
      </w:pPr>
      <w:r>
        <w:t xml:space="preserve">4. Upload ICS Evidence Packets</w:t>
      </w:r>
    </w:p>
    <w:p>
      <w:pPr>
        <w:pStyle w:val="ListParagraph"/>
        <w:numPr>
          <w:ilvl w:val="0"/>
          <w:numId w:val="2"/>
        </w:numPr>
      </w:pPr>
      <w:r>
        <w:t xml:space="preserve">Open ICS Command Center &gt; Evidence Packets.</w:t>
      </w:r>
    </w:p>
    <w:p>
      <w:pPr>
        <w:pStyle w:val="ListParagraph"/>
        <w:numPr>
          <w:ilvl w:val="0"/>
          <w:numId w:val="2"/>
        </w:numPr>
      </w:pPr>
      <w:r>
        <w:t xml:space="preserve">Create a packet for each schedule (e.g., Labor Distribution, Indirect Rates, Timekeeping).</w:t>
      </w:r>
    </w:p>
    <w:p>
      <w:pPr>
        <w:pStyle w:val="ListParagraph"/>
        <w:numPr>
          <w:ilvl w:val="0"/>
          <w:numId w:val="2"/>
        </w:numPr>
      </w:pPr>
      <w:r>
        <w:t xml:space="preserve">Drag and drop documents, mark each item as Submitted or Missing, and assign a reviewer.</w:t>
      </w:r>
    </w:p>
    <w:p>
      <w:pPr>
        <w:pStyle w:val="Heading2"/>
      </w:pPr>
      <w:r>
        <w:t xml:space="preserve">5. Invite Your Team</w:t>
      </w:r>
    </w:p>
    <w:p>
      <w:pPr>
        <w:pStyle w:val="ListParagraph"/>
        <w:numPr>
          <w:ilvl w:val="0"/>
          <w:numId w:val="2"/>
        </w:numPr>
      </w:pPr>
      <w:r>
        <w:t xml:space="preserve">Go to Settings &gt; Team Members.</w:t>
      </w:r>
    </w:p>
    <w:p>
      <w:pPr>
        <w:pStyle w:val="ListParagraph"/>
        <w:numPr>
          <w:ilvl w:val="0"/>
          <w:numId w:val="2"/>
        </w:numPr>
      </w:pPr>
      <w:r>
        <w:t xml:space="preserve">Enter the email of each teammate and choose a role: Admin, Reviewer, or Employee.</w:t>
      </w:r>
    </w:p>
    <w:p>
      <w:pPr>
        <w:pStyle w:val="ListParagraph"/>
        <w:numPr>
          <w:ilvl w:val="0"/>
          <w:numId w:val="2"/>
        </w:numPr>
      </w:pPr>
      <w:r>
        <w:t xml:space="preserve">Click Send Invitation. The invitee receives a secure link and is scoped to your organization automatically.</w:t>
      </w:r>
    </w:p>
    <w:p>
      <w:pPr>
        <w:pStyle w:val="Heading2"/>
      </w:pPr>
      <w:r>
        <w:t xml:space="preserve">Need Help?</w:t>
      </w:r>
    </w:p>
    <w:p>
      <w:pPr>
        <w:pStyle w:val="ListParagraph"/>
        <w:numPr>
          <w:ilvl w:val="0"/>
          <w:numId w:val="3"/>
        </w:numPr>
      </w:pPr>
      <w:r>
        <w:t xml:space="preserve">Email: </w:t>
      </w:r>
      <w:hyperlink w:history="1" r:id="rIdgkdz6u3p61-8ztkiyf8jq">
        <w:r>
          <w:rPr>
            <w:rStyle w:val="Hyperlink"/>
          </w:rPr>
          <w:t xml:space="preserve">info@cleardcaa.com</w:t>
        </w:r>
      </w:hyperlink>
    </w:p>
    <w:p>
      <w:pPr>
        <w:pStyle w:val="ListParagraph"/>
        <w:numPr>
          <w:ilvl w:val="0"/>
          <w:numId w:val="3"/>
        </w:numPr>
      </w:pPr>
      <w:r>
        <w:t xml:space="preserve">Book a demo: </w:t>
      </w:r>
      <w:hyperlink w:history="1" r:id="rIdi8tn9zn1ljkffxaywjyio">
        <w:r>
          <w:rPr>
            <w:rStyle w:val="Hyperlink"/>
          </w:rPr>
          <w:t xml:space="preserve">https://cleardcaa.com/demo</w:t>
        </w:r>
      </w:hyperlink>
    </w:p>
    <w:p>
      <w:pPr>
        <w:pStyle w:val="ListParagraph"/>
        <w:numPr>
          <w:ilvl w:val="0"/>
          <w:numId w:val="3"/>
        </w:numPr>
      </w:pPr>
      <w:r>
        <w:t xml:space="preserve">Help docs: </w:t>
      </w:r>
      <w:hyperlink w:history="1" r:id="rIdkrp4sg_mqzwztzilec3kv">
        <w:r>
          <w:rPr>
            <w:rStyle w:val="Hyperlink"/>
          </w:rPr>
          <w:t xml:space="preserve">https://cleardcaa.com/help</w:t>
        </w:r>
      </w:hyperlink>
    </w:p>
    <w:p>
      <w:pPr>
        <w:spacing w:after="0" w:before="240"/>
      </w:pPr>
      <w:r>
        <w:rPr>
          <w:b/>
          <w:bCs/>
          <w:color w:val="1E3A5F"/>
        </w:rPr>
        <w:t xml:space="preserve">Ready to launch? </w:t>
      </w:r>
      <w:r>
        <w:t xml:space="preserve">Start with the SF 1408 checklist and invite your accountant as a Reviewer. Most customers complete their first readiness review in under an hour.</w:t>
      </w:r>
    </w:p>
    <w:sectPr>
      <w:headerReference w:type="default" r:id="rId7"/>
      <w:footerReference w:type="default" r:id="rId8"/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64748B"/>
        <w:sz w:val="20"/>
        <w:szCs w:val="20"/>
      </w:rPr>
      <w:t xml:space="preserve">Page </w:t>
    </w:r>
    <w:r>
      <w:rPr>
        <w:color w:val="64748B"/>
        <w:sz w:val="20"/>
        <w:szCs w:val="20"/>
      </w:rPr>
      <w:fldChar w:fldCharType="begin"/>
      <w:instrText xml:space="preserve">PAGE</w:instrText>
      <w:fldChar w:fldCharType="separate"/>
      <w:fldChar w:fldCharType="end"/>
    </w:r>
    <w:r>
      <w:rPr>
        <w:color w:val="64748B"/>
        <w:sz w:val="20"/>
        <w:szCs w:val="20"/>
      </w:rPr>
      <w:t xml:space="preserve"> | info@cleardcaa.com | www.cleardcaa.com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left"/>
    </w:pPr>
    <w:r>
      <w:rPr>
        <w:b/>
        <w:bCs/>
        <w:color w:val="2563EB"/>
        <w:sz w:val="24"/>
        <w:szCs w:val="24"/>
      </w:rPr>
      <w:t xml:space="preserve">ClearDCAA</w:t>
    </w:r>
    <w:r>
      <w:rPr>
        <w:color w:val="64748B"/>
        <w:sz w:val="24"/>
        <w:szCs w:val="24"/>
      </w:rPr>
      <w:t xml:space="preserve"> — Quick Start Guide</w:t>
    </w:r>
  </w:p>
  <w:p>
    <w:pPr>
      <w:pBdr>
        <w:bottom w:val="single" w:color="2563EB" w:sz="6" w:space="1"/>
      </w:pBdr>
      <w:spacing w:after="12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80" w:before="240"/>
    </w:pPr>
    <w:rPr>
      <w:rFonts w:ascii="Arial" w:cs="Arial" w:eastAsia="Arial" w:hAnsi="Arial"/>
      <w:b/>
      <w:bCs/>
      <w:color w:val="1E3A5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200"/>
    </w:pPr>
    <w:rPr>
      <w:rFonts w:ascii="Arial" w:cs="Arial" w:eastAsia="Arial" w:hAnsi="Arial"/>
      <w:b/>
      <w:bCs/>
      <w:color w:val="2563EB"/>
      <w:sz w:val="28"/>
      <w:szCs w:val="28"/>
    </w:rPr>
  </w:style>
  <w:style w:type="paragraph" w:styleId="Heading3">
    <w:name w:val="Heading 3"/>
    <w:basedOn w:val="Normal"/>
    <w:next w:val="Normal"/>
    <w:qFormat/>
    <w:pPr>
      <w:spacing w:after="80" w:before="160"/>
    </w:pPr>
    <w:rPr>
      <w:rFonts w:ascii="Arial" w:cs="Arial" w:eastAsia="Arial" w:hAnsi="Arial"/>
      <w:b/>
      <w:bCs/>
      <w:color w:val="334155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jasbotqxjhtvhnejvcewy" Type="http://schemas.openxmlformats.org/officeDocument/2006/relationships/hyperlink" Target="https://cleardcaa.com" TargetMode="External"/><Relationship Id="rIdgkdz6u3p61-8ztkiyf8jq" Type="http://schemas.openxmlformats.org/officeDocument/2006/relationships/hyperlink" Target="mailto:info@cleardcaa.com" TargetMode="External"/><Relationship Id="rIdi8tn9zn1ljkffxaywjyio" Type="http://schemas.openxmlformats.org/officeDocument/2006/relationships/hyperlink" Target="https://cleardcaa.com/demo" TargetMode="External"/><Relationship Id="rIdkrp4sg_mqzwztzilec3kv" Type="http://schemas.openxmlformats.org/officeDocument/2006/relationships/hyperlink" Target="https://cleardcaa.com/help" TargetMode="External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2026-08-03T03:54:36.058Z</dcterms:created>
  <dcterms:modified xsi:type="dcterms:W3CDTF">2026-08-03T03:54:36.058Z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